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A60606" w:rsidP="00907825">
      <w:pPr>
        <w:pStyle w:val="DecHTitle"/>
        <w:rPr>
          <w:lang w:val="fr-FR"/>
        </w:rPr>
      </w:pPr>
      <w:bookmarkStart w:id="0" w:name="_GoBack"/>
      <w:bookmarkEnd w:id="0"/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A60606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10485/10</w:t>
      </w:r>
      <w:r w:rsidR="006544C4" w:rsidRPr="00AD4F05">
        <w:rPr>
          <w:lang w:val="fr-FR"/>
        </w:rPr>
        <w:br/>
      </w:r>
      <w:r>
        <w:rPr>
          <w:lang w:val="fr-FR"/>
        </w:rPr>
        <w:t>Alfonso</w:t>
      </w:r>
      <w:r w:rsidRPr="00AD4F05">
        <w:rPr>
          <w:lang w:val="fr-FR"/>
        </w:rPr>
        <w:t xml:space="preserve"> </w:t>
      </w:r>
      <w:r>
        <w:rPr>
          <w:lang w:val="fr-FR"/>
        </w:rPr>
        <w:t>SIBILLO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9B7673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5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A60606" w:rsidRPr="007B1244" w:rsidRDefault="00A60606" w:rsidP="008D222C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9B7673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 w:rsidR="003A4CD8">
        <w:rPr>
          <w:lang w:val="fr-FR"/>
        </w:rPr>
        <w:t>28 jan</w:t>
      </w:r>
      <w:r>
        <w:rPr>
          <w:lang w:val="fr-FR"/>
        </w:rPr>
        <w:t>v</w:t>
      </w:r>
      <w:r w:rsidR="003A4CD8">
        <w:rPr>
          <w:lang w:val="fr-FR"/>
        </w:rPr>
        <w:t>i</w:t>
      </w:r>
      <w:r>
        <w:rPr>
          <w:lang w:val="fr-FR"/>
        </w:rPr>
        <w:t xml:space="preserve">er 2016 </w:t>
      </w:r>
      <w:r w:rsidRPr="00F205BC">
        <w:rPr>
          <w:lang w:val="fr-FR"/>
        </w:rPr>
        <w:t>en un comité composé de :</w:t>
      </w:r>
    </w:p>
    <w:p w:rsidR="00A60606" w:rsidRPr="00FF6E82" w:rsidRDefault="00A60606" w:rsidP="009B7673">
      <w:pPr>
        <w:pStyle w:val="ECHRDecisionBody"/>
        <w:rPr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 xml:space="preserve">, </w:t>
      </w:r>
      <w:r w:rsidRPr="009B7673">
        <w:rPr>
          <w:i/>
          <w:lang w:val="fr-FR"/>
        </w:rPr>
        <w:t>président</w:t>
      </w:r>
      <w:r w:rsidRPr="00FF6E82">
        <w:rPr>
          <w:lang w:val="fr-FR"/>
        </w:rPr>
        <w:t>,</w:t>
      </w:r>
    </w:p>
    <w:p w:rsidR="00A60606" w:rsidRPr="00FF6E82" w:rsidRDefault="00A60606" w:rsidP="009B7673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</w:t>
      </w:r>
    </w:p>
    <w:p w:rsidR="00A60606" w:rsidRPr="006D30E5" w:rsidRDefault="00A60606" w:rsidP="009B7673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Pauliine Koskelo</w:t>
      </w:r>
      <w:r w:rsidRPr="00FF6E82">
        <w:rPr>
          <w:lang w:val="fr-FR"/>
        </w:rPr>
        <w:t xml:space="preserve">, </w:t>
      </w:r>
      <w:r w:rsidRPr="009B7673">
        <w:rPr>
          <w:i/>
          <w:lang w:val="fr-FR"/>
        </w:rPr>
        <w:t>juges</w:t>
      </w:r>
      <w:r>
        <w:rPr>
          <w:lang w:val="fr-FR"/>
        </w:rPr>
        <w:t>,</w:t>
      </w:r>
    </w:p>
    <w:p w:rsidR="00A60606" w:rsidRPr="009936E7" w:rsidRDefault="00A60606" w:rsidP="009B7673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B7673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A60606" w:rsidRPr="00F205BC" w:rsidRDefault="00A60606" w:rsidP="008D222C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A60606" w:rsidRDefault="00A60606" w:rsidP="008D222C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A60606" w:rsidRPr="0074496D" w:rsidRDefault="00A60606" w:rsidP="008D222C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A60606" w:rsidRPr="00F9622F" w:rsidRDefault="00A60606" w:rsidP="008D222C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A60606" w:rsidRPr="001D4023" w:rsidRDefault="00A60606" w:rsidP="008D222C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8E7D0C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M.</w:t>
      </w:r>
      <w:r w:rsidRPr="001211F4">
        <w:rPr>
          <w:lang w:val="fr-FR"/>
        </w:rPr>
        <w:t xml:space="preserve"> </w:t>
      </w:r>
      <w:r>
        <w:rPr>
          <w:lang w:val="fr-FR"/>
        </w:rPr>
        <w:t>De Palma</w:t>
      </w:r>
      <w:r>
        <w:rPr>
          <w:szCs w:val="24"/>
          <w:lang w:val="fr-FR"/>
        </w:rPr>
        <w:t>, avocate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Nocera Inferiore</w:t>
      </w:r>
      <w:r w:rsidRPr="001D4023">
        <w:rPr>
          <w:lang w:val="fr-FR"/>
        </w:rPr>
        <w:t>.</w:t>
      </w:r>
    </w:p>
    <w:p w:rsidR="00A60606" w:rsidRPr="00012A1F" w:rsidRDefault="00A60606" w:rsidP="008D222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coagent, </w:t>
      </w:r>
      <w:r>
        <w:rPr>
          <w:rFonts w:ascii="Times New Roman" w:hAnsi="Times New Roman" w:cs="Times New Roman"/>
          <w:szCs w:val="24"/>
          <w:lang w:val="fr-FR"/>
        </w:rPr>
        <w:t>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A60606" w:rsidRPr="006634CF" w:rsidRDefault="00A60606" w:rsidP="008D222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9B7673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A60606" w:rsidRPr="00307CA4" w:rsidRDefault="00A60606" w:rsidP="008D222C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A60606" w:rsidRPr="00B94B57" w:rsidRDefault="00A60606" w:rsidP="008D222C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A60606" w:rsidRPr="004F2E26" w:rsidRDefault="00A60606" w:rsidP="008D222C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 w:rsidR="00727C86">
        <w:rPr>
          <w:szCs w:val="24"/>
          <w:lang w:val="fr-FR"/>
        </w:rPr>
        <w:t xml:space="preserve"> 6 octobre</w:t>
      </w:r>
      <w:r>
        <w:rPr>
          <w:szCs w:val="24"/>
          <w:lang w:val="fr-FR"/>
        </w:rPr>
        <w:t xml:space="preserve"> 2015 </w:t>
      </w:r>
      <w:r w:rsidRPr="00114FA8">
        <w:rPr>
          <w:szCs w:val="24"/>
          <w:lang w:val="fr-FR"/>
        </w:rPr>
        <w:t>le Gouvernement a informé la Cour qu</w:t>
      </w:r>
      <w:r w:rsidR="009B7673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A60606" w:rsidRPr="004F2E26" w:rsidRDefault="00A60606" w:rsidP="008D222C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A60606" w:rsidRPr="004F2E26" w:rsidRDefault="00A60606" w:rsidP="008D222C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A60606" w:rsidRPr="004F2E26" w:rsidRDefault="00A60606" w:rsidP="008D222C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A60606" w:rsidRDefault="00A60606" w:rsidP="008D222C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9B7673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A60606" w:rsidRPr="004F2E26" w:rsidRDefault="00A60606" w:rsidP="008D222C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A60606" w:rsidRPr="004F2E26" w:rsidRDefault="00A60606" w:rsidP="008D222C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A60606" w:rsidRPr="004F2E26" w:rsidRDefault="00A60606" w:rsidP="008D222C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A60606" w:rsidRPr="004F2E26" w:rsidRDefault="00A60606" w:rsidP="008D222C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A60606" w:rsidRPr="00B87FBA" w:rsidRDefault="00A60606" w:rsidP="008D222C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9B7673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A60606" w:rsidRDefault="00727C86" w:rsidP="008D222C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Par une lettre du 19 octobre 2015 l</w:t>
      </w:r>
      <w:r w:rsidR="00A60606">
        <w:rPr>
          <w:rFonts w:ascii="Times New Roman" w:hAnsi="Times New Roman"/>
          <w:szCs w:val="24"/>
          <w:lang w:val="fr-FR"/>
        </w:rPr>
        <w:t xml:space="preserve">es parties requérantes </w:t>
      </w:r>
      <w:r>
        <w:rPr>
          <w:rFonts w:ascii="Times New Roman" w:hAnsi="Times New Roman"/>
          <w:szCs w:val="24"/>
          <w:lang w:val="fr-FR"/>
        </w:rPr>
        <w:t>ont indiqué qu</w:t>
      </w:r>
      <w:r w:rsidR="009B7673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elles n</w:t>
      </w:r>
      <w:r w:rsidR="009B7673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 xml:space="preserve">étaient pas satisfaites des termes de la </w:t>
      </w:r>
      <w:r w:rsidR="00A60606">
        <w:rPr>
          <w:rFonts w:ascii="Times New Roman" w:hAnsi="Times New Roman"/>
          <w:szCs w:val="24"/>
          <w:lang w:val="fr-FR"/>
        </w:rPr>
        <w:t>déclaration unilatérale.</w:t>
      </w:r>
    </w:p>
    <w:p w:rsidR="00A60606" w:rsidRPr="004F2E26" w:rsidRDefault="00A60606" w:rsidP="008D222C">
      <w:pPr>
        <w:ind w:firstLine="284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9B7673">
        <w:rPr>
          <w:lang w:val="fr-FR"/>
        </w:rPr>
        <w:t>’</w:t>
      </w:r>
      <w:r w:rsidRPr="004F2E26">
        <w:rPr>
          <w:lang w:val="fr-FR"/>
        </w:rPr>
        <w:t>amènent à l</w:t>
      </w:r>
      <w:r w:rsidR="009B7673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9B7673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A60606" w:rsidRPr="004F2E26" w:rsidRDefault="00A60606" w:rsidP="008D222C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9B7673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9B7673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A60606" w:rsidRPr="004F2E26" w:rsidRDefault="00A60606" w:rsidP="008D222C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A60606" w:rsidRPr="004F2E26" w:rsidRDefault="00A60606" w:rsidP="008D222C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A60606" w:rsidRPr="000264D7" w:rsidRDefault="00A60606" w:rsidP="008D222C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9B767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>
        <w:rPr>
          <w:snapToGrid w:val="0"/>
          <w:szCs w:val="24"/>
          <w:lang w:val="pt-BR"/>
        </w:rPr>
        <w:t>, §§ 32-45, 21 </w:t>
      </w:r>
      <w:r w:rsidRPr="000264D7">
        <w:rPr>
          <w:szCs w:val="24"/>
          <w:lang w:val="pt-BR"/>
        </w:rPr>
        <w:t>décembre</w:t>
      </w:r>
      <w:r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>
        <w:rPr>
          <w:snapToGrid w:val="0"/>
          <w:szCs w:val="24"/>
          <w:lang w:val="fr-FR"/>
        </w:rPr>
        <w:t xml:space="preserve"> 7932/04, §§ 39-49, 21 </w:t>
      </w:r>
      <w:r w:rsidRPr="004F2E26">
        <w:rPr>
          <w:snapToGrid w:val="0"/>
          <w:szCs w:val="24"/>
          <w:lang w:val="fr-FR"/>
        </w:rPr>
        <w:t>décembre 2010</w:t>
      </w:r>
      <w:r w:rsidRPr="000264D7">
        <w:rPr>
          <w:snapToGrid w:val="0"/>
          <w:szCs w:val="24"/>
          <w:lang w:val="pt-BR"/>
        </w:rPr>
        <w:t>).</w:t>
      </w:r>
    </w:p>
    <w:p w:rsidR="00A60606" w:rsidRPr="004F2E26" w:rsidRDefault="00A60606" w:rsidP="008D222C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9B7673">
        <w:rPr>
          <w:lang w:val="fr-FR"/>
        </w:rPr>
        <w:t>’</w:t>
      </w:r>
      <w:r w:rsidRPr="004F2E26">
        <w:rPr>
          <w:lang w:val="fr-FR"/>
        </w:rPr>
        <w:t>au montant de l</w:t>
      </w:r>
      <w:r w:rsidR="009B7673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9B7673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9B7673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A60606" w:rsidRPr="004F2E26" w:rsidRDefault="00A60606" w:rsidP="008D222C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9B7673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9B7673">
        <w:rPr>
          <w:lang w:val="fr-FR"/>
        </w:rPr>
        <w:t>’</w:t>
      </w:r>
      <w:r w:rsidRPr="004F2E26">
        <w:rPr>
          <w:lang w:val="fr-FR"/>
        </w:rPr>
        <w:t>exige pas qu</w:t>
      </w:r>
      <w:r w:rsidR="009B7673">
        <w:rPr>
          <w:lang w:val="fr-FR"/>
        </w:rPr>
        <w:t>’</w:t>
      </w:r>
      <w:r w:rsidRPr="004F2E26">
        <w:rPr>
          <w:lang w:val="fr-FR"/>
        </w:rPr>
        <w:t>elle poursuive l</w:t>
      </w:r>
      <w:r w:rsidR="009B7673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A60606" w:rsidRDefault="00A60606" w:rsidP="008D222C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9B7673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A60606" w:rsidRPr="004F2E26" w:rsidRDefault="00A60606" w:rsidP="008D222C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A60606" w:rsidRPr="004F2E26" w:rsidRDefault="00A60606" w:rsidP="008D222C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9B7673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A60606" w:rsidRDefault="00A60606" w:rsidP="009B7673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A60606" w:rsidRDefault="00A60606" w:rsidP="009B7673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A60606" w:rsidRPr="00D47E1E" w:rsidRDefault="00A60606" w:rsidP="009B7673">
      <w:pPr>
        <w:pStyle w:val="DecList"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9B7673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3A4CD8">
        <w:rPr>
          <w:lang w:val="fr-FR"/>
        </w:rPr>
        <w:t>18 février 2016</w:t>
      </w:r>
      <w:r w:rsidRPr="00AD4F05">
        <w:rPr>
          <w:lang w:val="fr-FR"/>
        </w:rPr>
        <w:t>.</w:t>
      </w:r>
    </w:p>
    <w:p w:rsidR="00CE6ED9" w:rsidRPr="00AD4F05" w:rsidRDefault="00A60606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3A4CD8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3A4CD8">
        <w:rPr>
          <w:lang w:val="fr-FR"/>
        </w:rPr>
        <w:t>Reid</w:t>
      </w:r>
      <w:r w:rsidR="006544C4" w:rsidRPr="00AD4F05">
        <w:rPr>
          <w:lang w:val="fr-FR"/>
        </w:rPr>
        <w:tab/>
      </w:r>
      <w:r w:rsidR="003A4CD8">
        <w:rPr>
          <w:lang w:val="fr-FR"/>
        </w:rPr>
        <w:t xml:space="preserve">Paul Mahoney 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3A4CD8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A60606" w:rsidRPr="00AD4F05" w:rsidRDefault="00A60606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A60606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A60606" w:rsidRPr="00280578" w:rsidRDefault="00A60606" w:rsidP="008D222C">
      <w:pPr>
        <w:rPr>
          <w:lang w:val="fr-FR"/>
        </w:rPr>
      </w:pPr>
      <w:bookmarkStart w:id="1" w:name="TableStart"/>
      <w:bookmarkEnd w:id="1"/>
    </w:p>
    <w:tbl>
      <w:tblPr>
        <w:tblStyle w:val="ECHRListTable"/>
        <w:tblW w:w="0" w:type="auto"/>
        <w:tblInd w:w="-318" w:type="dxa"/>
        <w:tblLook w:val="05E0" w:firstRow="1" w:lastRow="1" w:firstColumn="1" w:lastColumn="1" w:noHBand="0" w:noVBand="1"/>
      </w:tblPr>
      <w:tblGrid>
        <w:gridCol w:w="568"/>
        <w:gridCol w:w="1418"/>
        <w:gridCol w:w="1559"/>
        <w:gridCol w:w="2126"/>
        <w:gridCol w:w="1702"/>
      </w:tblGrid>
      <w:tr w:rsidR="00A60606" w:rsidTr="008D2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A60606" w:rsidRDefault="00A60606" w:rsidP="008D222C">
            <w:pPr>
              <w:jc w:val="left"/>
            </w:pPr>
            <w:bookmarkStart w:id="2" w:name="AppTableStart"/>
            <w:bookmarkEnd w:id="2"/>
            <w:r>
              <w:t>N</w:t>
            </w:r>
            <w:r w:rsidR="00277F3D" w:rsidRPr="00277F3D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Requête N</w:t>
            </w:r>
            <w:r w:rsidR="00277F3D" w:rsidRPr="00277F3D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Introduite le</w:t>
            </w:r>
          </w:p>
        </w:tc>
        <w:tc>
          <w:tcPr>
            <w:tcW w:w="2126" w:type="dxa"/>
          </w:tcPr>
          <w:p w:rsidR="00A60606" w:rsidRPr="00727C86" w:rsidRDefault="00A60606" w:rsidP="008D222C">
            <w:pPr>
              <w:jc w:val="left"/>
              <w:rPr>
                <w:lang w:val="fr-FR"/>
              </w:rPr>
            </w:pPr>
            <w:r w:rsidRPr="00727C86">
              <w:rPr>
                <w:lang w:val="fr-FR"/>
              </w:rPr>
              <w:t>Requérant</w:t>
            </w:r>
          </w:p>
          <w:p w:rsidR="00A60606" w:rsidRPr="00727C86" w:rsidRDefault="00A60606" w:rsidP="008D222C">
            <w:pPr>
              <w:jc w:val="left"/>
              <w:rPr>
                <w:lang w:val="fr-FR"/>
              </w:rPr>
            </w:pPr>
            <w:r w:rsidRPr="00727C86">
              <w:rPr>
                <w:lang w:val="fr-FR"/>
              </w:rPr>
              <w:t>Date de naissance</w:t>
            </w:r>
          </w:p>
          <w:p w:rsidR="00A60606" w:rsidRPr="00727C86" w:rsidRDefault="00A60606" w:rsidP="008D222C">
            <w:pPr>
              <w:jc w:val="left"/>
              <w:rPr>
                <w:lang w:val="fr-FR"/>
              </w:rPr>
            </w:pPr>
            <w:r w:rsidRPr="00727C86">
              <w:rPr>
                <w:lang w:val="fr-FR"/>
              </w:rPr>
              <w:t>Lieu de résidence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Représenté par</w:t>
            </w:r>
          </w:p>
        </w:tc>
      </w:tr>
      <w:tr w:rsidR="00A60606" w:rsidTr="008D222C">
        <w:tc>
          <w:tcPr>
            <w:tcW w:w="568" w:type="dxa"/>
          </w:tcPr>
          <w:p w:rsidR="00A60606" w:rsidRPr="0054262A" w:rsidRDefault="00A60606" w:rsidP="00A60606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10485/10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02/02/2010</w:t>
            </w:r>
          </w:p>
        </w:tc>
        <w:tc>
          <w:tcPr>
            <w:tcW w:w="2126" w:type="dxa"/>
          </w:tcPr>
          <w:p w:rsidR="00277F3D" w:rsidRDefault="00A60606" w:rsidP="008D222C">
            <w:pPr>
              <w:jc w:val="left"/>
              <w:rPr>
                <w:b/>
              </w:rPr>
            </w:pPr>
            <w:r>
              <w:rPr>
                <w:b/>
              </w:rPr>
              <w:t>Alfonso SIBILLO</w:t>
            </w:r>
          </w:p>
          <w:p w:rsidR="00A60606" w:rsidRDefault="00A60606" w:rsidP="008D222C">
            <w:pPr>
              <w:jc w:val="left"/>
            </w:pPr>
            <w:r>
              <w:t>09/10/1945</w:t>
            </w:r>
          </w:p>
          <w:p w:rsidR="00A60606" w:rsidRPr="0054262A" w:rsidRDefault="00A60606" w:rsidP="008D222C">
            <w:pPr>
              <w:jc w:val="left"/>
            </w:pPr>
            <w:r>
              <w:t>Pompei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Michela DE PALMA</w:t>
            </w:r>
          </w:p>
        </w:tc>
      </w:tr>
      <w:tr w:rsidR="00A60606" w:rsidTr="008D222C">
        <w:tc>
          <w:tcPr>
            <w:tcW w:w="568" w:type="dxa"/>
          </w:tcPr>
          <w:p w:rsidR="00A60606" w:rsidRPr="0054262A" w:rsidRDefault="00A60606" w:rsidP="00A60606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42887/11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29/04/2011</w:t>
            </w:r>
          </w:p>
        </w:tc>
        <w:tc>
          <w:tcPr>
            <w:tcW w:w="2126" w:type="dxa"/>
          </w:tcPr>
          <w:p w:rsidR="00277F3D" w:rsidRDefault="00A60606" w:rsidP="008D222C">
            <w:pPr>
              <w:jc w:val="left"/>
              <w:rPr>
                <w:b/>
              </w:rPr>
            </w:pPr>
            <w:r>
              <w:rPr>
                <w:b/>
              </w:rPr>
              <w:t>Carmelo GRECO</w:t>
            </w:r>
          </w:p>
          <w:p w:rsidR="00A60606" w:rsidRDefault="00A60606" w:rsidP="008D222C">
            <w:pPr>
              <w:jc w:val="left"/>
            </w:pPr>
            <w:r>
              <w:t>23/01/1960</w:t>
            </w:r>
          </w:p>
          <w:p w:rsidR="00A60606" w:rsidRPr="0054262A" w:rsidRDefault="00A60606" w:rsidP="008D222C">
            <w:pPr>
              <w:jc w:val="left"/>
            </w:pPr>
            <w:r>
              <w:t>Nocera Inferiore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Michela DE PALMA</w:t>
            </w:r>
          </w:p>
        </w:tc>
      </w:tr>
      <w:tr w:rsidR="00A60606" w:rsidTr="008D222C">
        <w:tc>
          <w:tcPr>
            <w:tcW w:w="568" w:type="dxa"/>
          </w:tcPr>
          <w:p w:rsidR="00A60606" w:rsidRPr="0054262A" w:rsidRDefault="00A60606" w:rsidP="00A60606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42889/11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29/04/2011</w:t>
            </w:r>
          </w:p>
        </w:tc>
        <w:tc>
          <w:tcPr>
            <w:tcW w:w="2126" w:type="dxa"/>
          </w:tcPr>
          <w:p w:rsidR="00277F3D" w:rsidRDefault="00A60606" w:rsidP="008D222C">
            <w:pPr>
              <w:jc w:val="left"/>
              <w:rPr>
                <w:b/>
              </w:rPr>
            </w:pPr>
            <w:r>
              <w:rPr>
                <w:b/>
              </w:rPr>
              <w:t>Antonio BUONOCORE</w:t>
            </w:r>
          </w:p>
          <w:p w:rsidR="00A60606" w:rsidRDefault="00A60606" w:rsidP="008D222C">
            <w:pPr>
              <w:jc w:val="left"/>
            </w:pPr>
            <w:r>
              <w:t>22/01/1956</w:t>
            </w:r>
          </w:p>
          <w:p w:rsidR="00A60606" w:rsidRPr="0054262A" w:rsidRDefault="00A60606" w:rsidP="008D222C">
            <w:pPr>
              <w:jc w:val="left"/>
            </w:pPr>
            <w:r>
              <w:t>Pagani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Michela DE PALMA</w:t>
            </w:r>
          </w:p>
        </w:tc>
      </w:tr>
      <w:tr w:rsidR="00A60606" w:rsidTr="008D222C">
        <w:tc>
          <w:tcPr>
            <w:tcW w:w="568" w:type="dxa"/>
          </w:tcPr>
          <w:p w:rsidR="00A60606" w:rsidRPr="0054262A" w:rsidRDefault="00A60606" w:rsidP="00A60606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42890/11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29/04/2011</w:t>
            </w:r>
          </w:p>
        </w:tc>
        <w:tc>
          <w:tcPr>
            <w:tcW w:w="2126" w:type="dxa"/>
          </w:tcPr>
          <w:p w:rsidR="00277F3D" w:rsidRDefault="00A60606" w:rsidP="008D222C">
            <w:pPr>
              <w:jc w:val="left"/>
              <w:rPr>
                <w:b/>
              </w:rPr>
            </w:pPr>
            <w:r>
              <w:rPr>
                <w:b/>
              </w:rPr>
              <w:t>Nunzio SORRENTINO</w:t>
            </w:r>
          </w:p>
          <w:p w:rsidR="00A60606" w:rsidRDefault="00A60606" w:rsidP="008D222C">
            <w:pPr>
              <w:jc w:val="left"/>
            </w:pPr>
            <w:r>
              <w:t>13/08/1953</w:t>
            </w:r>
          </w:p>
          <w:p w:rsidR="00A60606" w:rsidRPr="0054262A" w:rsidRDefault="00A60606" w:rsidP="008D222C">
            <w:pPr>
              <w:jc w:val="left"/>
            </w:pPr>
            <w:r>
              <w:t>Sarno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Michela DE PALMA</w:t>
            </w:r>
          </w:p>
        </w:tc>
      </w:tr>
      <w:tr w:rsidR="00A60606" w:rsidTr="008D222C">
        <w:tc>
          <w:tcPr>
            <w:tcW w:w="568" w:type="dxa"/>
          </w:tcPr>
          <w:p w:rsidR="00A60606" w:rsidRPr="0054262A" w:rsidRDefault="00A60606" w:rsidP="00A60606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42892/11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29/04/2011</w:t>
            </w:r>
          </w:p>
        </w:tc>
        <w:tc>
          <w:tcPr>
            <w:tcW w:w="2126" w:type="dxa"/>
          </w:tcPr>
          <w:p w:rsidR="00277F3D" w:rsidRDefault="00A60606" w:rsidP="008D222C">
            <w:pPr>
              <w:jc w:val="left"/>
              <w:rPr>
                <w:b/>
              </w:rPr>
            </w:pPr>
            <w:r>
              <w:rPr>
                <w:b/>
              </w:rPr>
              <w:t>Paola CARBONE</w:t>
            </w:r>
          </w:p>
          <w:p w:rsidR="00A60606" w:rsidRDefault="00A60606" w:rsidP="008D222C">
            <w:pPr>
              <w:jc w:val="left"/>
            </w:pPr>
            <w:r>
              <w:t>08/10/1954</w:t>
            </w:r>
          </w:p>
          <w:p w:rsidR="00A60606" w:rsidRPr="0054262A" w:rsidRDefault="00A60606" w:rsidP="008D222C">
            <w:pPr>
              <w:jc w:val="left"/>
            </w:pPr>
            <w:r>
              <w:t>Sarno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Michela DE PALMA</w:t>
            </w:r>
          </w:p>
        </w:tc>
      </w:tr>
      <w:tr w:rsidR="00A60606" w:rsidTr="008D222C">
        <w:tc>
          <w:tcPr>
            <w:tcW w:w="568" w:type="dxa"/>
          </w:tcPr>
          <w:p w:rsidR="00A60606" w:rsidRPr="0054262A" w:rsidRDefault="00A60606" w:rsidP="00A60606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A60606" w:rsidRDefault="00A60606" w:rsidP="008D222C">
            <w:pPr>
              <w:jc w:val="left"/>
            </w:pPr>
            <w:r>
              <w:t>44078/11</w:t>
            </w:r>
          </w:p>
        </w:tc>
        <w:tc>
          <w:tcPr>
            <w:tcW w:w="1559" w:type="dxa"/>
          </w:tcPr>
          <w:p w:rsidR="00A60606" w:rsidRDefault="00A60606" w:rsidP="008D222C">
            <w:pPr>
              <w:jc w:val="left"/>
            </w:pPr>
            <w:r>
              <w:t>29/04/2011</w:t>
            </w:r>
          </w:p>
        </w:tc>
        <w:tc>
          <w:tcPr>
            <w:tcW w:w="2126" w:type="dxa"/>
          </w:tcPr>
          <w:p w:rsidR="00277F3D" w:rsidRDefault="00A60606" w:rsidP="008D222C">
            <w:pPr>
              <w:jc w:val="left"/>
              <w:rPr>
                <w:b/>
              </w:rPr>
            </w:pPr>
            <w:r>
              <w:rPr>
                <w:b/>
              </w:rPr>
              <w:t>Rosanna IORIO</w:t>
            </w:r>
          </w:p>
          <w:p w:rsidR="00A60606" w:rsidRDefault="00A60606" w:rsidP="008D222C">
            <w:pPr>
              <w:jc w:val="left"/>
            </w:pPr>
            <w:r>
              <w:t>09/01/1951</w:t>
            </w:r>
          </w:p>
          <w:p w:rsidR="00A60606" w:rsidRPr="0054262A" w:rsidRDefault="00A60606" w:rsidP="008D222C">
            <w:pPr>
              <w:jc w:val="left"/>
            </w:pPr>
            <w:r>
              <w:t>Pompei</w:t>
            </w:r>
          </w:p>
        </w:tc>
        <w:tc>
          <w:tcPr>
            <w:tcW w:w="1702" w:type="dxa"/>
          </w:tcPr>
          <w:p w:rsidR="00A60606" w:rsidRDefault="00A60606" w:rsidP="008D222C">
            <w:pPr>
              <w:jc w:val="left"/>
            </w:pPr>
            <w:r>
              <w:t>Michela DE PALMA</w:t>
            </w:r>
          </w:p>
        </w:tc>
        <w:bookmarkStart w:id="3" w:name="TableEnd"/>
        <w:bookmarkEnd w:id="3"/>
      </w:tr>
    </w:tbl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20" w:rsidRDefault="002C4E20" w:rsidP="006544C4">
      <w:r>
        <w:separator/>
      </w:r>
    </w:p>
  </w:endnote>
  <w:endnote w:type="continuationSeparator" w:id="0">
    <w:p w:rsidR="002C4E20" w:rsidRDefault="002C4E20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06" w:rsidRPr="00150BFA" w:rsidRDefault="00A6060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FD4B307" wp14:editId="5DE4EA3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C4E2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20" w:rsidRDefault="002C4E20" w:rsidP="006544C4">
      <w:r>
        <w:separator/>
      </w:r>
    </w:p>
  </w:footnote>
  <w:footnote w:type="continuationSeparator" w:id="0">
    <w:p w:rsidR="002C4E20" w:rsidRDefault="002C4E20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60606" w:rsidRDefault="00A60606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A60606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830D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A60606">
      <w:rPr>
        <w:lang w:val="fr-FR"/>
      </w:rPr>
      <w:tab/>
      <w:t xml:space="preserve">DÉCISION </w:t>
    </w:r>
    <w:r w:rsidR="003A4CD8">
      <w:rPr>
        <w:lang w:val="fr-FR"/>
      </w:rPr>
      <w:t>SIBILLO</w:t>
    </w:r>
    <w:r w:rsidRPr="00A60606">
      <w:rPr>
        <w:lang w:val="fr-FR"/>
      </w:rPr>
      <w:t xml:space="preserve"> c. ITALIE</w:t>
    </w:r>
    <w:r w:rsidRPr="00A60606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60606" w:rsidRDefault="00334EC5" w:rsidP="006544C4">
    <w:pPr>
      <w:pStyle w:val="ECHRHeader"/>
      <w:rPr>
        <w:lang w:val="fr-FR"/>
      </w:rPr>
    </w:pPr>
    <w:r>
      <w:tab/>
    </w:r>
    <w:r w:rsidRPr="00A60606">
      <w:rPr>
        <w:lang w:val="fr-FR"/>
      </w:rPr>
      <w:t xml:space="preserve">DÉCISION </w:t>
    </w:r>
    <w:r w:rsidR="003A4CD8">
      <w:rPr>
        <w:lang w:val="fr-FR"/>
      </w:rPr>
      <w:t>SIBILLO</w:t>
    </w:r>
    <w:r w:rsidR="00A60606" w:rsidRPr="00A60606">
      <w:rPr>
        <w:lang w:val="fr-FR"/>
      </w:rPr>
      <w:t xml:space="preserve"> c. ITALIE</w:t>
    </w:r>
    <w:r w:rsidR="00A60606" w:rsidRPr="00A60606">
      <w:rPr>
        <w:noProof/>
        <w:lang w:val="fr-FR"/>
      </w:rPr>
      <w:t xml:space="preserve"> ET AUTRES REQUÊTES</w:t>
    </w:r>
    <w:r w:rsidRPr="00A60606">
      <w:rPr>
        <w:lang w:val="fr-FR"/>
      </w:rPr>
      <w:tab/>
    </w:r>
    <w:r w:rsidR="00A60606">
      <w:rPr>
        <w:rStyle w:val="Numeropagina"/>
        <w:lang w:val="en-GB"/>
      </w:rPr>
      <w:fldChar w:fldCharType="begin"/>
    </w:r>
    <w:r w:rsidR="00A60606" w:rsidRPr="00A60606">
      <w:rPr>
        <w:rStyle w:val="Numeropagina"/>
        <w:lang w:val="fr-FR"/>
      </w:rPr>
      <w:instrText xml:space="preserve"> PAGE </w:instrText>
    </w:r>
    <w:r w:rsidR="00A60606">
      <w:rPr>
        <w:rStyle w:val="Numeropagina"/>
        <w:lang w:val="en-GB"/>
      </w:rPr>
      <w:fldChar w:fldCharType="separate"/>
    </w:r>
    <w:r w:rsidR="00A830DF">
      <w:rPr>
        <w:rStyle w:val="Numeropagina"/>
        <w:noProof/>
        <w:lang w:val="fr-FR"/>
      </w:rPr>
      <w:t>5</w:t>
    </w:r>
    <w:r w:rsidR="00A60606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06" w:rsidRPr="00A45145" w:rsidRDefault="00A6060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CDDA85A" wp14:editId="3E9068A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C4E20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231841"/>
    <w:multiLevelType w:val="hybridMultilevel"/>
    <w:tmpl w:val="3F3E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A6060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77F3D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4E2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4CD8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27C86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B7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0606"/>
    <w:rsid w:val="00A6144C"/>
    <w:rsid w:val="00A66617"/>
    <w:rsid w:val="00A671F8"/>
    <w:rsid w:val="00A673A4"/>
    <w:rsid w:val="00A724AE"/>
    <w:rsid w:val="00A73329"/>
    <w:rsid w:val="00A82359"/>
    <w:rsid w:val="00A830DF"/>
    <w:rsid w:val="00A865D2"/>
    <w:rsid w:val="00A931C5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A6060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A6060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CF43-247C-455A-9551-9B205A28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D4966-C347-41C5-9124-2EB1D9A0F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B8812-2E7F-4F0B-80D7-3EAD337AF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F9C9C-CA4A-4485-A0C0-BAE2D0B2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2016-03-01T14:05:00Z</dcterms:created>
  <dcterms:modified xsi:type="dcterms:W3CDTF">2016-03-01T14:05:00Z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45344/08</vt:lpwstr>
  </property>
  <property fmtid="{D5CDD505-2E9C-101B-9397-08002B2CF9AE}" pid="4" name="CASEID">
    <vt:lpwstr>529533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